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Arial"/>
          <w:b/>
          <w:kern w:val="0"/>
          <w:sz w:val="28"/>
          <w:szCs w:val="21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Arial"/>
          <w:b/>
          <w:kern w:val="0"/>
          <w:sz w:val="28"/>
          <w:szCs w:val="21"/>
          <w:lang w:val="en-US" w:eastAsia="zh-CN" w:bidi="ar"/>
        </w:rPr>
        <w:t>处方评价表</w:t>
      </w:r>
    </w:p>
    <w:p>
      <w:pPr>
        <w:keepNext w:val="0"/>
        <w:keepLines w:val="0"/>
        <w:widowControl/>
        <w:suppressLineNumbers w:val="0"/>
        <w:spacing w:before="0" w:beforeAutospacing="0" w:after="120" w:afterAutospacing="0"/>
        <w:ind w:left="0" w:right="0"/>
        <w:jc w:val="left"/>
      </w:pPr>
      <w:r>
        <w:rPr>
          <w:rFonts w:hint="eastAsia" w:ascii="宋体" w:hAnsi="Times New Roman" w:eastAsia="宋体" w:cs="宋体"/>
          <w:b/>
          <w:bCs w:val="0"/>
          <w:kern w:val="0"/>
          <w:sz w:val="24"/>
          <w:szCs w:val="24"/>
          <w:lang w:val="en-US" w:eastAsia="zh-CN" w:bidi="ar"/>
        </w:rPr>
        <w:t>医疗机构名称：　　　　　　　　　　　　　　　　　　　　　　　　　　　</w:t>
      </w:r>
      <w:bookmarkStart w:id="0" w:name="_GoBack"/>
      <w:bookmarkEnd w:id="0"/>
      <w:r>
        <w:rPr>
          <w:rFonts w:hint="eastAsia" w:ascii="宋体" w:hAnsi="Times New Roman" w:eastAsia="宋体" w:cs="宋体"/>
          <w:b/>
          <w:bCs w:val="0"/>
          <w:kern w:val="0"/>
          <w:sz w:val="24"/>
          <w:szCs w:val="24"/>
          <w:lang w:val="en-US" w:eastAsia="zh-CN" w:bidi="ar"/>
        </w:rPr>
        <w:t>　</w:t>
      </w:r>
    </w:p>
    <w:p>
      <w:pPr>
        <w:keepNext w:val="0"/>
        <w:keepLines w:val="0"/>
        <w:widowControl/>
        <w:suppressLineNumbers w:val="0"/>
        <w:spacing w:before="0" w:beforeAutospacing="0" w:after="120" w:afterAutospacing="0"/>
        <w:ind w:left="0" w:right="0"/>
        <w:jc w:val="left"/>
      </w:pPr>
      <w:r>
        <w:rPr>
          <w:rFonts w:hint="eastAsia" w:ascii="宋体" w:hAnsi="Times New Roman" w:eastAsia="宋体" w:cs="宋体"/>
          <w:b/>
          <w:bCs w:val="0"/>
          <w:kern w:val="0"/>
          <w:sz w:val="24"/>
          <w:szCs w:val="24"/>
          <w:lang w:val="en-US" w:eastAsia="zh-CN" w:bidi="ar"/>
        </w:rPr>
        <w:t xml:space="preserve">填表人：　　　　　　　　　　　                       填表日期： </w:t>
      </w:r>
      <w:r>
        <w:rPr>
          <w:rFonts w:hint="eastAsia" w:ascii="宋体" w:hAnsi="Times New Roman" w:eastAsia="宋体" w:cs="宋体"/>
          <w:b/>
          <w:bCs w:val="0"/>
          <w:kern w:val="0"/>
          <w:sz w:val="28"/>
          <w:szCs w:val="24"/>
          <w:lang w:val="en-US" w:eastAsia="zh-CN" w:bidi="ar"/>
        </w:rPr>
        <w:t xml:space="preserve">　　　  </w:t>
      </w:r>
      <w:r>
        <w:rPr>
          <w:rFonts w:hint="eastAsia" w:ascii="宋体" w:hAnsi="Times New Roman" w:eastAsia="宋体" w:cs="宋体"/>
          <w:b/>
          <w:bCs w:val="0"/>
          <w:kern w:val="0"/>
          <w:sz w:val="24"/>
          <w:szCs w:val="24"/>
          <w:lang w:val="en-US" w:eastAsia="zh-CN" w:bidi="ar"/>
        </w:rPr>
        <w:t>表1</w:t>
      </w:r>
    </w:p>
    <w:tbl>
      <w:tblPr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720"/>
        <w:gridCol w:w="720"/>
        <w:gridCol w:w="1080"/>
        <w:gridCol w:w="1080"/>
        <w:gridCol w:w="1080"/>
        <w:gridCol w:w="900"/>
        <w:gridCol w:w="7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处方日期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（年月日）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(岁)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药品品种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抗菌药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（0/1）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注射剂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（0/1）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基本药物品种数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药品通用名数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处方金额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A=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C=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E=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G=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  <w:t>I=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K=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平均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auto" w:fill="FFFFFF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B=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0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  <w:t>L=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％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auto" w:fill="FFFFFF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D=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F=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H=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  <w:t>J=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0"/>
          <w:sz w:val="18"/>
          <w:szCs w:val="24"/>
          <w:lang w:val="en-US" w:eastAsia="zh-CN" w:bidi="ar"/>
        </w:rPr>
        <w:t>注：有＝1  无＝0；结果保留小数点后一位。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>A：用药品种总数；                B：平均每张处方用药品种数 = A/30；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>C：使用抗菌药的处方数；          D：抗菌药使用百分率= C/30；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>E：使用注射剂的处方数；          F：注射剂使用百分率= E/30；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>G：处方中基本药物品种总数；      H：基本药物占处方用药的百分率= G/A；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>I：处方中使用药品通用名总数；    J：药品通用名占处方用药的百分率=I/A；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>K：处方总金额；                  L：平均每张处方金额＝K/30。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Times New Roman" w:hAnsi="Times New Roman" w:cs="Times New Roman" w:eastAsiaTheme="minorEastAsia"/>
          <w:b/>
          <w:bCs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center"/>
      </w:pPr>
      <w:r>
        <w:rPr>
          <w:rFonts w:hint="default" w:ascii="Times New Roman" w:hAnsi="Times New Roman" w:eastAsia="宋体" w:cs="Times New Roman"/>
          <w:b/>
          <w:bCs w:val="0"/>
          <w:kern w:val="2"/>
          <w:sz w:val="24"/>
          <w:szCs w:val="24"/>
          <w:lang w:val="en-US" w:eastAsia="zh-CN" w:bidi="ar"/>
        </w:rPr>
        <w:br w:type="page"/>
      </w:r>
      <w:r>
        <w:rPr>
          <w:rFonts w:hint="default" w:ascii="Times New Roman" w:hAnsi="Times New Roman" w:cs="Times New Roman" w:eastAsiaTheme="minorEastAsia"/>
          <w:b/>
          <w:bCs w:val="0"/>
          <w:kern w:val="0"/>
          <w:sz w:val="28"/>
          <w:szCs w:val="24"/>
          <w:lang w:val="en-US" w:eastAsia="zh-CN" w:bidi="ar"/>
        </w:rPr>
        <w:t xml:space="preserve">                                                     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>表2　　　　　　　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65"/>
        <w:gridCol w:w="945"/>
        <w:gridCol w:w="1215"/>
        <w:gridCol w:w="1080"/>
        <w:gridCol w:w="14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就诊时间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(分钟)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发药交待时间(秒)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处方用药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品种数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实发处方药品数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标签标示完整的药品数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患者是否了解全部处方药用法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(0/1)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C=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D=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F=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A=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B=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％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E=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G=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I=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61" w:firstLineChars="200"/>
        <w:jc w:val="left"/>
      </w:pPr>
      <w:r>
        <w:rPr>
          <w:rFonts w:hint="eastAsia" w:ascii="宋体" w:hAnsi="宋体" w:eastAsia="宋体" w:cs="宋体"/>
          <w:b/>
          <w:bCs w:val="0"/>
          <w:kern w:val="0"/>
          <w:sz w:val="18"/>
          <w:szCs w:val="24"/>
          <w:lang w:val="en-US" w:eastAsia="zh-CN" w:bidi="ar"/>
        </w:rPr>
        <w:t>注：是＝1  否＝0。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>A：患者平均就诊时间                 B：患者取药时药师平均发药交待时间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 xml:space="preserve">C：处方用药品种总数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 xml:space="preserve">D：按处方实际调配药品数             E：按处方实际调配药品的百分率=D/C       F：标签标示完整的药品数             G：药品标示完整的百分率=F/D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>H：能正确回答全部处方药用法的例数   I：患者了解正确用法的百分率=H/30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0"/>
          <w:sz w:val="30"/>
          <w:szCs w:val="24"/>
          <w:lang w:val="en-US" w:eastAsia="zh-CN" w:bidi="ar"/>
        </w:rPr>
        <w:t xml:space="preserve">                 </w:t>
      </w: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bCs w:val="0"/>
          <w:kern w:val="0"/>
          <w:sz w:val="30"/>
          <w:szCs w:val="24"/>
          <w:lang w:val="en-US" w:eastAsia="zh-CN" w:bidi="ar"/>
        </w:rPr>
        <w:t xml:space="preserve">                                                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>表3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0"/>
        <w:gridCol w:w="14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cantSplit/>
        </w:trPr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综合评价指标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本机构数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本地区平均数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每次就诊平均用药品种数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就诊使用抗菌药的百分率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uto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uto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就诊使用注射剂的百分率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uto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uto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基本药物占处方用药的百分率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uto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uto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通用名药品占处方用药的百分率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uto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uto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平均处方金额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uto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uto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平均就诊时间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uto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uto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平均发药交待时间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uto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秒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uto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按处方实际调配药品的百分率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uto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uto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药品标示完整的百分率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uto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uto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患者了解正确用法的百分率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uto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uto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有无本机构处方集和基本药物目录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uto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有/无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uto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120" w:afterAutospacing="0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120" w:afterAutospacing="0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120" w:afterAutospacing="0"/>
        <w:ind w:left="0" w:right="0"/>
        <w:jc w:val="left"/>
      </w:pPr>
      <w:r>
        <w:rPr>
          <w:rFonts w:hint="eastAsia" w:ascii="宋体" w:hAnsi="Times New Roman" w:eastAsia="宋体" w:cs="宋体"/>
          <w:b/>
          <w:bCs w:val="0"/>
          <w:kern w:val="0"/>
          <w:sz w:val="24"/>
          <w:szCs w:val="24"/>
          <w:lang w:val="en-US" w:eastAsia="zh-CN" w:bidi="ar"/>
        </w:rPr>
        <w:t>意见：</w:t>
      </w:r>
    </w:p>
    <w:p>
      <w:pPr>
        <w:keepNext w:val="0"/>
        <w:keepLines w:val="0"/>
        <w:widowControl/>
        <w:suppressLineNumbers w:val="0"/>
        <w:spacing w:before="0" w:beforeAutospacing="0" w:after="120" w:afterAutospacing="0"/>
        <w:ind w:left="0" w:right="0"/>
        <w:jc w:val="left"/>
      </w:pPr>
      <w:r>
        <w:rPr>
          <w:rFonts w:hint="eastAsia" w:ascii="宋体" w:hAnsi="Times New Roman" w:eastAsia="宋体" w:cs="宋体"/>
          <w:b/>
          <w:bCs w:val="0"/>
          <w:kern w:val="0"/>
          <w:sz w:val="28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120" w:afterAutospacing="0"/>
        <w:ind w:left="0" w:right="0"/>
        <w:jc w:val="left"/>
      </w:pPr>
      <w:r>
        <w:rPr>
          <w:rFonts w:hint="eastAsia" w:ascii="宋体" w:hAnsi="Times New Roman" w:eastAsia="宋体" w:cs="宋体"/>
          <w:b/>
          <w:bCs w:val="0"/>
          <w:kern w:val="0"/>
          <w:sz w:val="28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120" w:afterAutospacing="0"/>
        <w:ind w:left="0" w:right="0"/>
        <w:jc w:val="left"/>
      </w:pPr>
      <w:r>
        <w:rPr>
          <w:rFonts w:hint="eastAsia" w:ascii="宋体" w:hAnsi="Times New Roman" w:eastAsia="宋体" w:cs="宋体"/>
          <w:b/>
          <w:bCs w:val="0"/>
          <w:kern w:val="0"/>
          <w:sz w:val="28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Times New Roman" w:eastAsia="宋体" w:cs="宋体"/>
          <w:b/>
          <w:bCs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272" w:firstLineChars="2188"/>
        <w:jc w:val="left"/>
      </w:pPr>
      <w:r>
        <w:rPr>
          <w:rFonts w:hint="eastAsia" w:ascii="宋体" w:hAnsi="Times New Roman" w:eastAsia="宋体" w:cs="宋体"/>
          <w:b/>
          <w:bCs w:val="0"/>
          <w:kern w:val="0"/>
          <w:sz w:val="24"/>
          <w:szCs w:val="24"/>
          <w:lang w:val="en-US" w:eastAsia="zh-CN" w:bidi="ar"/>
        </w:rPr>
        <w:t>签名：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2" w:firstLineChars="200"/>
        <w:jc w:val="left"/>
      </w:pPr>
      <w:r>
        <w:rPr>
          <w:rFonts w:hint="eastAsia" w:ascii="宋体" w:hAnsi="Times New Roman" w:eastAsia="宋体" w:cs="Times New Roman"/>
          <w:b/>
          <w:bCs w:val="0"/>
          <w:kern w:val="2"/>
          <w:sz w:val="24"/>
          <w:szCs w:val="24"/>
          <w:lang w:val="en-US" w:eastAsia="zh-CN" w:bidi="ar"/>
        </w:rPr>
        <w:br w:type="page"/>
      </w:r>
      <w:r>
        <w:rPr>
          <w:rFonts w:hint="eastAsia" w:ascii="宋体" w:hAnsi="Times New Roman" w:eastAsia="宋体" w:cs="宋体"/>
          <w:b/>
          <w:bCs w:val="0"/>
          <w:kern w:val="0"/>
          <w:sz w:val="28"/>
          <w:szCs w:val="24"/>
          <w:lang w:val="en-US" w:eastAsia="zh-CN" w:bidi="ar"/>
        </w:rPr>
        <w:t>处方评价及填表说明：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仿宋_GB2312" w:hAnsi="宋体" w:eastAsia="仿宋_GB2312" w:cs="仿宋_GB2312"/>
          <w:bCs/>
          <w:kern w:val="0"/>
          <w:sz w:val="28"/>
          <w:szCs w:val="24"/>
          <w:lang w:val="en-US" w:eastAsia="zh-CN" w:bidi="ar"/>
        </w:rPr>
        <w:t xml:space="preserve">   </w:t>
      </w:r>
      <w:r>
        <w:rPr>
          <w:rFonts w:hint="default" w:ascii="仿宋_GB2312" w:hAnsi="宋体" w:eastAsia="仿宋_GB2312" w:cs="仿宋_GB2312"/>
          <w:bCs/>
          <w:kern w:val="0"/>
          <w:sz w:val="28"/>
          <w:szCs w:val="24"/>
          <w:lang w:val="en-US" w:eastAsia="zh-CN" w:bidi="ar"/>
        </w:rPr>
        <w:t>1.处方评价表是对医疗机构合理用药、处方管理、费用控制等情况实施的综合评价，可以由医疗机构对本机构药事管理整体情况实施评价，也可以对一名或者多名医师处方情况实施评价。卫生行政部门在对医疗机构实施监督管理过程中，也可以使用处方评价表对医疗机构药事管理情况实施评价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70"/>
        <w:jc w:val="left"/>
      </w:pPr>
      <w:r>
        <w:rPr>
          <w:rFonts w:hint="default" w:ascii="仿宋_GB2312" w:hAnsi="宋体" w:eastAsia="仿宋_GB2312" w:cs="仿宋_GB2312"/>
          <w:bCs/>
          <w:kern w:val="0"/>
          <w:sz w:val="28"/>
          <w:szCs w:val="24"/>
          <w:lang w:val="en-US" w:eastAsia="zh-CN" w:bidi="ar"/>
        </w:rPr>
        <w:t>2.对本地区医疗机构实施群体评价时，可以在各医疗机构某一时段所有处方中随机抽取30例（张）处方进行分析评价；对某个医疗机构或者科室、医师的处方实施评价、比较时，应当随机抽取100例（张）处方进行分析评价。各医疗机构和各地卫生行政部门可以根据本机构和本地区实际情况，在处方评价表的基础上适当进行调整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70"/>
        <w:jc w:val="left"/>
      </w:pPr>
      <w:r>
        <w:rPr>
          <w:rFonts w:hint="default" w:ascii="仿宋_GB2312" w:hAnsi="宋体" w:eastAsia="仿宋_GB2312" w:cs="仿宋_GB2312"/>
          <w:bCs/>
          <w:kern w:val="0"/>
          <w:sz w:val="28"/>
          <w:szCs w:val="24"/>
          <w:lang w:val="en-US" w:eastAsia="zh-CN" w:bidi="ar"/>
        </w:rPr>
        <w:t>3.表1中“药品品种”、“抗菌药（0/1）”、“注射剂（0/1）”、“基本药物品种数”“药品通用名数”、“处方金额”均为每张处方的数据，其中，“基本药物品种数”为国家或者本省基本药物目录中的药物品种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70"/>
        <w:jc w:val="left"/>
      </w:pPr>
      <w:r>
        <w:rPr>
          <w:rFonts w:hint="default" w:ascii="仿宋_GB2312" w:hAnsi="宋体" w:eastAsia="仿宋_GB2312" w:cs="仿宋_GB2312"/>
          <w:bCs/>
          <w:kern w:val="0"/>
          <w:sz w:val="28"/>
          <w:szCs w:val="24"/>
          <w:lang w:val="en-US" w:eastAsia="zh-CN" w:bidi="ar"/>
        </w:rPr>
        <w:t>4.填写表2时，可以从门诊取药患者中随机选取30位，由调查人员现场填写。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70"/>
        <w:jc w:val="left"/>
      </w:pPr>
      <w:r>
        <w:rPr>
          <w:rFonts w:hint="default" w:ascii="仿宋_GB2312" w:hAnsi="宋体" w:eastAsia="仿宋_GB2312" w:cs="仿宋_GB2312"/>
          <w:bCs/>
          <w:kern w:val="0"/>
          <w:sz w:val="28"/>
          <w:szCs w:val="24"/>
          <w:lang w:val="en-US" w:eastAsia="zh-CN" w:bidi="ar"/>
        </w:rPr>
        <w:t>5.表3中“本地区平均数”是指本地市或者本省医疗机构各项指标的平均值，计算方法为:随机抽取本地区10—20家医院，处方总量不少于600例（张）的平均值，即抽取10家医院时，每家医院随机抽取不少于60例（张）处方，抽取20家医院时，每家医院随机抽取不少于30例（张）处方。“意见”栏由医疗机构药事管理委员会或者卫生行政部门组织的药学专家，根据各项评价指标对医疗机构药事管理或者医师处方情况提出意见、建议，某项指标严重超常时，应当提出预警信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A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2020-03-30T09:44:34Z</dcterms:created>
  <dc:creator>26519</dc:creator>
  <cp:lastModifiedBy>26519</cp:lastModifiedBy>
  <dcterms:modified xsi:type="dcterms:W3CDTF">2020-03-30T09:46:37Z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